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B12" w:rsidRPr="00485B12" w:rsidRDefault="002575D7" w:rsidP="00485B1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>
        <w:fldChar w:fldCharType="begin"/>
      </w:r>
      <w:r>
        <w:instrText xml:space="preserve"> HYPERLINK "https://internet.garant.ru/document/redirect/411391469/0" </w:instrText>
      </w:r>
      <w:r>
        <w:fldChar w:fldCharType="separate"/>
      </w:r>
      <w:r w:rsidR="00485B12" w:rsidRPr="00485B12">
        <w:rPr>
          <w:rFonts w:ascii="Times New Roman CYR" w:eastAsiaTheme="minorEastAsia" w:hAnsi="Times New Roman CYR" w:cs="Times New Roman CYR"/>
          <w:color w:val="106BBE"/>
          <w:sz w:val="24"/>
          <w:szCs w:val="24"/>
          <w:lang w:eastAsia="ru-RU"/>
        </w:rPr>
        <w:t>Обзор законодательных изменений в сфере земли и недвижимости "Дайджест законодательных изменений в сфере земли и недвижимости. IV квартал 2024" (официальный сайт Федеральной службы государственной регистрации, кадастра и картографии, раздел "Обзор законов о недвижимости", 30 января 2025 г.)"</w:t>
      </w:r>
      <w:r>
        <w:rPr>
          <w:rFonts w:ascii="Times New Roman CYR" w:eastAsiaTheme="minorEastAsia" w:hAnsi="Times New Roman CYR" w:cs="Times New Roman CYR"/>
          <w:color w:val="106BBE"/>
          <w:sz w:val="24"/>
          <w:szCs w:val="24"/>
          <w:lang w:eastAsia="ru-RU"/>
        </w:rPr>
        <w:fldChar w:fldCharType="end"/>
      </w:r>
    </w:p>
    <w:p w:rsidR="00485B12" w:rsidRPr="00485B12" w:rsidRDefault="00485B12" w:rsidP="00485B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485B12" w:rsidRPr="00485B12" w:rsidRDefault="00485B12" w:rsidP="00485B1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485B12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"</w:t>
      </w:r>
      <w:proofErr w:type="spellStart"/>
      <w:r w:rsidRPr="00485B12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Росреестр</w:t>
      </w:r>
      <w:proofErr w:type="spellEnd"/>
      <w:r w:rsidRPr="00485B12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подготовил дайджест законодательных изменений в сфере земли и недвижимости за IV квартал 2024 года"</w:t>
      </w:r>
    </w:p>
    <w:p w:rsidR="00485B12" w:rsidRPr="00485B12" w:rsidRDefault="00485B12" w:rsidP="00485B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485B12" w:rsidRPr="00485B12" w:rsidRDefault="00485B12" w:rsidP="00485B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proofErr w:type="spellStart"/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Росреестр</w:t>
      </w:r>
      <w:proofErr w:type="spellEnd"/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подготовил </w:t>
      </w:r>
      <w:hyperlink w:anchor="sub_1" w:history="1">
        <w:r w:rsidRPr="00485B12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дайджест</w:t>
        </w:r>
      </w:hyperlink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законодательных изменений в сфере земли и недвижимости за IV квартал 2024 года.</w:t>
      </w:r>
    </w:p>
    <w:p w:rsidR="00485B12" w:rsidRPr="00485B12" w:rsidRDefault="00485B12" w:rsidP="00485B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В интересах дачников и садоводов принят </w:t>
      </w:r>
      <w:hyperlink r:id="rId4" w:history="1">
        <w:r w:rsidRPr="00485B12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Федеральный закон</w:t>
        </w:r>
      </w:hyperlink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N 370-ФЗ (от 29 октября 2024 г.), который направлен на упрощение оформления прав граждан на вспомогательные объекты бытовой недвижимости, созданные до 1 января 2013 года. Это сараи, бани, погреба, летние кухни, колодцы, навесы и другие </w:t>
      </w:r>
      <w:proofErr w:type="spellStart"/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хозпостройки</w:t>
      </w:r>
      <w:proofErr w:type="spellEnd"/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 Теперь такие постройки можно оформить на основании старых документов технической инвентаризации. Например, это может быть технический паспорт домовладения, ранее выданный БТИ.</w:t>
      </w:r>
    </w:p>
    <w:p w:rsidR="00485B12" w:rsidRPr="00485B12" w:rsidRDefault="00485B12" w:rsidP="00485B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В целях повышения качества проведения комплексных кадастровых работ (ККР) принят </w:t>
      </w:r>
      <w:hyperlink r:id="rId5" w:history="1">
        <w:r w:rsidRPr="00485B12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Федеральный закон</w:t>
        </w:r>
      </w:hyperlink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N 371-ФЗ (от 29 октября 2024 г.). Он призван решить существующие проблемы, связанные с нарушением сроков проведения ККР и низким качеством подготовки документов по контрактам со стороны исполнителей - кадастровых инженеров. Выполнение ККР федерального значения возложено на ППК "</w:t>
      </w:r>
      <w:proofErr w:type="spellStart"/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Роскадастр</w:t>
      </w:r>
      <w:proofErr w:type="spellEnd"/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". Закон позволит под ключ решить для людей вопросы по уточнению границ земельных участков и исправлению исторически накопленных реестровых ошибок в сведениях о границах объектов.</w:t>
      </w:r>
    </w:p>
    <w:p w:rsidR="00485B12" w:rsidRPr="00485B12" w:rsidRDefault="00485B12" w:rsidP="00485B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В интересах автолюбителей принят </w:t>
      </w:r>
      <w:hyperlink r:id="rId6" w:history="1">
        <w:r w:rsidRPr="00485B12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Федеральный закон</w:t>
        </w:r>
      </w:hyperlink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N 403-ФЗ (от 23 ноября 2024 г.). В нем прописан порядок выдела доли для образования </w:t>
      </w:r>
      <w:proofErr w:type="spellStart"/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машино</w:t>
      </w:r>
      <w:proofErr w:type="spellEnd"/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-места, что расширит возможности граждан на реализацию этого права и упростит саму процедуру.</w:t>
      </w:r>
    </w:p>
    <w:p w:rsidR="00485B12" w:rsidRPr="00485B12" w:rsidRDefault="00485B12" w:rsidP="00485B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Также принят </w:t>
      </w:r>
      <w:hyperlink r:id="rId7" w:history="1">
        <w:r w:rsidRPr="00485B12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Федеральный закон</w:t>
        </w:r>
      </w:hyperlink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N 538-ФЗ (от 28 декабря 2024 г.), направленный на сокращение сроков предоставления на торгах земельных участков, находящихся в государственной или муниципальной собственности. Законом скорректирован существующий порядок проведения аукциона по продаже или аренде земельных участков. Принятые меры позволят быстрее вовлекать земельные участки в хозяйственную деятельность, а также в целом сократить инвестиционно-строительный цикл.</w:t>
      </w:r>
    </w:p>
    <w:p w:rsidR="00485B12" w:rsidRPr="00485B12" w:rsidRDefault="002575D7" w:rsidP="00485B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hyperlink r:id="rId8" w:history="1">
        <w:r w:rsidR="00485B12" w:rsidRPr="00485B12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Федеральным законом</w:t>
        </w:r>
      </w:hyperlink>
      <w:r w:rsidR="00485B12"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N 485-ФЗ (от 26 декабря 2024 г.) предусмотрен комплекс мер по совершенствованию правового регулирования зон с особыми условиями использования территорий (ЗОУИТ). Смягчение регулирования связано с тем, что действующие ЗОУИТ были установлены еще в советское время по правилам, которые не учитывают реальную градостроительную ситуацию и накладывают существенные ограничения как в отношении существующей недвижимости, так и в отношении свободных земель, которые могут быть вовлечены в оборот.</w:t>
      </w:r>
    </w:p>
    <w:p w:rsidR="00485B12" w:rsidRPr="00485B12" w:rsidRDefault="002575D7" w:rsidP="00485B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hyperlink r:id="rId9" w:history="1">
        <w:r w:rsidR="00485B12" w:rsidRPr="00485B12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Федеральным законом</w:t>
        </w:r>
      </w:hyperlink>
      <w:r w:rsidR="00485B12"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N 487-ФЗ (от 26 декабря 2024 г.) предусмотрены механизмы, стимулирующие оформление земельных участков, зданий и сооружений гражданами и юридическими лицами. Вводится принцип "построил - оформи", в соответствии с которым эксплуатировать построенные здания и сооружения можно будет только после их оформления. Также в законе предусмотрено правило, по которому регистрация прав или сделок будет возможна только в отношении земельных участков с точными границами.</w:t>
      </w:r>
    </w:p>
    <w:p w:rsidR="00485B12" w:rsidRPr="00485B12" w:rsidRDefault="00485B12" w:rsidP="00485B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В целях оптимизации предоставления государственных услуг </w:t>
      </w:r>
      <w:proofErr w:type="spellStart"/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Росреестра</w:t>
      </w:r>
      <w:proofErr w:type="spellEnd"/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принят </w:t>
      </w:r>
      <w:hyperlink r:id="rId10" w:history="1">
        <w:r w:rsidRPr="00485B12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приказ</w:t>
        </w:r>
      </w:hyperlink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Росреестра</w:t>
      </w:r>
      <w:proofErr w:type="spellEnd"/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N П/0326/24 (от 22 октября 2024 г.). Согласно документу, подготовка схемы расположения земельного участка в форме электронного документа может осуществляться с использованием Единой цифровой платформы "Национальная система </w:t>
      </w:r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 xml:space="preserve">пространственных данных" или иных технологических и программных средств. Ранее услуга была доступна только на официальном сайте </w:t>
      </w:r>
      <w:proofErr w:type="spellStart"/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Росреестра</w:t>
      </w:r>
      <w:proofErr w:type="spellEnd"/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485B12" w:rsidRPr="00485B12" w:rsidRDefault="002575D7" w:rsidP="00485B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hyperlink r:id="rId11" w:history="1">
        <w:r w:rsidR="00485B12" w:rsidRPr="00485B12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Приказом</w:t>
        </w:r>
      </w:hyperlink>
      <w:r w:rsidR="00485B12"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 w:rsidR="00485B12"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Росреестра</w:t>
      </w:r>
      <w:proofErr w:type="spellEnd"/>
      <w:r w:rsidR="00485B12"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N П/0335/24 (от 28 октября 2024 года) скорректированы размеры платы за предоставление сведений из ЕГРН.</w:t>
      </w:r>
    </w:p>
    <w:p w:rsidR="00485B12" w:rsidRPr="00485B12" w:rsidRDefault="00485B12" w:rsidP="00485B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Все подробности о вышеперечисленных и других документах, принятых по инициативе </w:t>
      </w:r>
      <w:proofErr w:type="spellStart"/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Росреестра</w:t>
      </w:r>
      <w:proofErr w:type="spellEnd"/>
      <w:r w:rsidRPr="00485B1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в IV квартале 2024 года, смотрите по ссылке.</w:t>
      </w:r>
    </w:p>
    <w:p w:rsidR="00EA771E" w:rsidRDefault="002575D7">
      <w:r>
        <w:rPr>
          <w:noProof/>
          <w:lang w:eastAsia="ru-RU"/>
        </w:rPr>
        <w:drawing>
          <wp:inline distT="0" distB="0" distL="0" distR="0">
            <wp:extent cx="5814060" cy="32689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5D7" w:rsidRDefault="002575D7">
      <w:r>
        <w:rPr>
          <w:noProof/>
          <w:lang w:eastAsia="ru-RU"/>
        </w:rPr>
        <w:drawing>
          <wp:inline distT="0" distB="0" distL="0" distR="0">
            <wp:extent cx="5814060" cy="32689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5D7" w:rsidRDefault="002575D7">
      <w:r>
        <w:rPr>
          <w:noProof/>
          <w:lang w:eastAsia="ru-RU"/>
        </w:rPr>
        <w:drawing>
          <wp:inline distT="0" distB="0" distL="0" distR="0">
            <wp:extent cx="5814060" cy="32689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5D7" w:rsidRDefault="002575D7">
      <w:r>
        <w:rPr>
          <w:noProof/>
          <w:lang w:eastAsia="ru-RU"/>
        </w:rPr>
        <w:drawing>
          <wp:inline distT="0" distB="0" distL="0" distR="0">
            <wp:extent cx="5814060" cy="32689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5D7" w:rsidRDefault="002575D7">
      <w:r>
        <w:rPr>
          <w:noProof/>
          <w:lang w:eastAsia="ru-RU"/>
        </w:rPr>
        <w:drawing>
          <wp:inline distT="0" distB="0" distL="0" distR="0">
            <wp:extent cx="5814060" cy="32689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5D7" w:rsidRDefault="002575D7">
      <w:r>
        <w:rPr>
          <w:noProof/>
          <w:lang w:eastAsia="ru-RU"/>
        </w:rPr>
        <w:drawing>
          <wp:inline distT="0" distB="0" distL="0" distR="0">
            <wp:extent cx="5814060" cy="32689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5D7" w:rsidRDefault="002575D7">
      <w:r>
        <w:rPr>
          <w:noProof/>
          <w:lang w:eastAsia="ru-RU"/>
        </w:rPr>
        <w:drawing>
          <wp:inline distT="0" distB="0" distL="0" distR="0">
            <wp:extent cx="5814060" cy="32689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5D7" w:rsidRDefault="002575D7">
      <w:r>
        <w:rPr>
          <w:noProof/>
          <w:lang w:eastAsia="ru-RU"/>
        </w:rPr>
        <w:drawing>
          <wp:inline distT="0" distB="0" distL="0" distR="0">
            <wp:extent cx="5814060" cy="32689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5D7" w:rsidRDefault="002575D7">
      <w:r>
        <w:rPr>
          <w:noProof/>
          <w:lang w:eastAsia="ru-RU"/>
        </w:rPr>
        <w:drawing>
          <wp:inline distT="0" distB="0" distL="0" distR="0">
            <wp:extent cx="5814060" cy="32689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5D7" w:rsidRDefault="002575D7">
      <w:r>
        <w:rPr>
          <w:noProof/>
          <w:lang w:eastAsia="ru-RU"/>
        </w:rPr>
        <w:drawing>
          <wp:inline distT="0" distB="0" distL="0" distR="0">
            <wp:extent cx="5814060" cy="326898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5D7" w:rsidRDefault="002575D7">
      <w:r>
        <w:rPr>
          <w:noProof/>
          <w:lang w:eastAsia="ru-RU"/>
        </w:rPr>
        <w:drawing>
          <wp:inline distT="0" distB="0" distL="0" distR="0">
            <wp:extent cx="5814060" cy="32689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5D7" w:rsidRDefault="002575D7">
      <w:r>
        <w:rPr>
          <w:noProof/>
          <w:lang w:eastAsia="ru-RU"/>
        </w:rPr>
        <w:drawing>
          <wp:inline distT="0" distB="0" distL="0" distR="0">
            <wp:extent cx="5814060" cy="3268980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5D7" w:rsidRDefault="002575D7">
      <w:r>
        <w:rPr>
          <w:noProof/>
          <w:lang w:eastAsia="ru-RU"/>
        </w:rPr>
        <w:drawing>
          <wp:inline distT="0" distB="0" distL="0" distR="0">
            <wp:extent cx="5814060" cy="3268980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5D7" w:rsidRDefault="002575D7">
      <w:r>
        <w:rPr>
          <w:noProof/>
          <w:lang w:eastAsia="ru-RU"/>
        </w:rPr>
        <w:drawing>
          <wp:inline distT="0" distB="0" distL="0" distR="0">
            <wp:extent cx="5814060" cy="326898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5D7" w:rsidRDefault="002575D7">
      <w:r>
        <w:rPr>
          <w:noProof/>
          <w:lang w:eastAsia="ru-RU"/>
        </w:rPr>
        <w:drawing>
          <wp:inline distT="0" distB="0" distL="0" distR="0">
            <wp:extent cx="5814060" cy="3268980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5D7" w:rsidRDefault="002575D7">
      <w:r>
        <w:rPr>
          <w:noProof/>
          <w:lang w:eastAsia="ru-RU"/>
        </w:rPr>
        <w:drawing>
          <wp:inline distT="0" distB="0" distL="0" distR="0">
            <wp:extent cx="5814060" cy="3268980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5D7" w:rsidRDefault="002575D7">
      <w:r>
        <w:rPr>
          <w:noProof/>
          <w:lang w:eastAsia="ru-RU"/>
        </w:rPr>
        <w:drawing>
          <wp:inline distT="0" distB="0" distL="0" distR="0">
            <wp:extent cx="5814060" cy="3268980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5D7" w:rsidRDefault="002575D7">
      <w:r>
        <w:rPr>
          <w:noProof/>
          <w:lang w:eastAsia="ru-RU"/>
        </w:rPr>
        <w:drawing>
          <wp:inline distT="0" distB="0" distL="0" distR="0">
            <wp:extent cx="5814060" cy="3268980"/>
            <wp:effectExtent l="0" t="0" r="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7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374"/>
    <w:rsid w:val="002575D7"/>
    <w:rsid w:val="00485B12"/>
    <w:rsid w:val="00B85374"/>
    <w:rsid w:val="00EA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5D152"/>
  <w15:chartTrackingRefBased/>
  <w15:docId w15:val="{0109839B-8C00-4460-BAE7-22AF64CB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1208539/0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hyperlink" Target="https://internet.garant.ru/document/redirect/411233311/0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10981764/0" TargetMode="External"/><Relationship Id="rId11" Type="http://schemas.openxmlformats.org/officeDocument/2006/relationships/hyperlink" Target="https://internet.garant.ru/document/redirect/410972608/0" TargetMode="External"/><Relationship Id="rId24" Type="http://schemas.openxmlformats.org/officeDocument/2006/relationships/image" Target="media/image13.png"/><Relationship Id="rId5" Type="http://schemas.openxmlformats.org/officeDocument/2006/relationships/hyperlink" Target="https://internet.garant.ru/document/redirect/410629728/0" TargetMode="Externa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hyperlink" Target="https://internet.garant.ru/document/redirect/411163117/0" TargetMode="External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hyperlink" Target="https://internet.garant.ru/document/redirect/410629724/0" TargetMode="External"/><Relationship Id="rId9" Type="http://schemas.openxmlformats.org/officeDocument/2006/relationships/hyperlink" Target="https://internet.garant.ru/document/redirect/411208481/0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Игнатова Виктория Н</dc:creator>
  <cp:keywords/>
  <dc:description/>
  <cp:lastModifiedBy>Игнатова Виктория Н</cp:lastModifiedBy>
  <cp:revision>3</cp:revision>
  <dcterms:created xsi:type="dcterms:W3CDTF">2025-02-07T06:44:00Z</dcterms:created>
  <dcterms:modified xsi:type="dcterms:W3CDTF">2025-02-07T06:47:00Z</dcterms:modified>
</cp:coreProperties>
</file>